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186D1" w14:textId="77777777" w:rsidR="001B621E" w:rsidRPr="001B621E" w:rsidRDefault="001B621E" w:rsidP="001B621E">
      <w:pPr>
        <w:rPr>
          <w:sz w:val="40"/>
          <w:szCs w:val="40"/>
        </w:rPr>
      </w:pPr>
      <w:r w:rsidRPr="001B621E">
        <w:rPr>
          <w:b/>
          <w:bCs/>
          <w:sz w:val="40"/>
          <w:szCs w:val="40"/>
        </w:rPr>
        <w:t>Financial Requirements</w:t>
      </w:r>
    </w:p>
    <w:p w14:paraId="277DCFA7" w14:textId="77777777" w:rsidR="001B621E" w:rsidRPr="001B621E" w:rsidRDefault="001B621E" w:rsidP="001B621E">
      <w:pPr>
        <w:rPr>
          <w:sz w:val="40"/>
          <w:szCs w:val="40"/>
        </w:rPr>
      </w:pPr>
      <w:r w:rsidRPr="001B621E">
        <w:rPr>
          <w:b/>
          <w:bCs/>
          <w:sz w:val="40"/>
          <w:szCs w:val="40"/>
          <w:u w:val="single"/>
        </w:rPr>
        <w:t>Clearance Policy</w:t>
      </w:r>
    </w:p>
    <w:p w14:paraId="2093F756" w14:textId="77777777" w:rsidR="001B621E" w:rsidRPr="001B621E" w:rsidRDefault="001B621E" w:rsidP="001B621E">
      <w:pPr>
        <w:rPr>
          <w:sz w:val="40"/>
          <w:szCs w:val="40"/>
        </w:rPr>
      </w:pPr>
      <w:r w:rsidRPr="001B621E">
        <w:rPr>
          <w:sz w:val="40"/>
          <w:szCs w:val="40"/>
        </w:rPr>
        <w:t>The following policy has been approved and will enable Office of the Registrar staff to certify and distribute diplomas, with appropriate honors, to as many degree candidates as possible at commencement. Eligible students who have fulfilled all academic and financial requirements will be identified prior to the ceremony, ensuring the timely processing of honors distinctions. This allows for greater accuracy and efficiency in diploma distribution during commencement activities.</w:t>
      </w:r>
    </w:p>
    <w:p w14:paraId="67846486" w14:textId="77777777" w:rsidR="001B621E" w:rsidRPr="001B621E" w:rsidRDefault="001B621E" w:rsidP="001B621E">
      <w:pPr>
        <w:rPr>
          <w:sz w:val="40"/>
          <w:szCs w:val="40"/>
        </w:rPr>
      </w:pPr>
      <w:r w:rsidRPr="001B621E">
        <w:rPr>
          <w:b/>
          <w:bCs/>
          <w:sz w:val="40"/>
          <w:szCs w:val="40"/>
          <w:u w:val="single"/>
        </w:rPr>
        <w:t>Automatic Billing:</w:t>
      </w:r>
    </w:p>
    <w:p w14:paraId="5D11510E" w14:textId="77777777" w:rsidR="001B621E" w:rsidRPr="001B621E" w:rsidRDefault="001B621E" w:rsidP="001B621E">
      <w:pPr>
        <w:rPr>
          <w:sz w:val="40"/>
          <w:szCs w:val="40"/>
        </w:rPr>
      </w:pPr>
      <w:r w:rsidRPr="001B621E">
        <w:rPr>
          <w:sz w:val="40"/>
          <w:szCs w:val="40"/>
        </w:rPr>
        <w:t>Tuition and fees are considered based on the student’s arrangement, which is determined by the program in which they are enrolled. It is essential for students to consult with the Office of the Registrar or the financial services department to understand the specific costs associated with their chosen program and any payment plans or options that may be available.</w:t>
      </w:r>
    </w:p>
    <w:p w14:paraId="7C5F60E5" w14:textId="77777777" w:rsidR="001B621E" w:rsidRPr="001B621E" w:rsidRDefault="001B621E" w:rsidP="001B621E">
      <w:pPr>
        <w:rPr>
          <w:sz w:val="40"/>
          <w:szCs w:val="40"/>
        </w:rPr>
      </w:pPr>
      <w:r w:rsidRPr="001B621E">
        <w:rPr>
          <w:b/>
          <w:bCs/>
          <w:sz w:val="40"/>
          <w:szCs w:val="40"/>
          <w:u w:val="single"/>
        </w:rPr>
        <w:lastRenderedPageBreak/>
        <w:t>The Cost of attendance:</w:t>
      </w:r>
      <w:r w:rsidRPr="001B621E">
        <w:rPr>
          <w:b/>
          <w:bCs/>
          <w:sz w:val="40"/>
          <w:szCs w:val="40"/>
        </w:rPr>
        <w:t xml:space="preserve">                                                                                                                                        </w:t>
      </w:r>
    </w:p>
    <w:p w14:paraId="72153716" w14:textId="77777777" w:rsidR="001B621E" w:rsidRPr="001B621E" w:rsidRDefault="001B621E" w:rsidP="001B621E">
      <w:pPr>
        <w:rPr>
          <w:sz w:val="40"/>
          <w:szCs w:val="40"/>
        </w:rPr>
      </w:pPr>
      <w:r w:rsidRPr="001B621E">
        <w:rPr>
          <w:sz w:val="40"/>
          <w:szCs w:val="40"/>
        </w:rPr>
        <w:t>This estimated cost typically includes tuition, mandatory fees, and other expenses such as textbooks and supplies. Students are encouraged to review their individual financial obligations and deadlines, as failure to meet these requirements may impact eligibility for graduation and receipt of official transcripts.</w:t>
      </w:r>
    </w:p>
    <w:p w14:paraId="592A7667" w14:textId="77777777" w:rsidR="00FE5994" w:rsidRPr="001B621E" w:rsidRDefault="00FE5994">
      <w:pPr>
        <w:rPr>
          <w:sz w:val="40"/>
          <w:szCs w:val="40"/>
        </w:rPr>
      </w:pPr>
    </w:p>
    <w:sectPr w:rsidR="00FE5994" w:rsidRPr="001B62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B621E"/>
    <w:rsid w:val="00074C9F"/>
    <w:rsid w:val="001B621E"/>
    <w:rsid w:val="002F554B"/>
    <w:rsid w:val="00F530BC"/>
    <w:rsid w:val="00F81E7A"/>
    <w:rsid w:val="00FE59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602F3"/>
  <w15:chartTrackingRefBased/>
  <w15:docId w15:val="{FA113CB1-5886-4568-AD5D-2F4040BB7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621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1B621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1B621E"/>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1B621E"/>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1B621E"/>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1B62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2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2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2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21E"/>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1B621E"/>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1B621E"/>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1B621E"/>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1B621E"/>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1B62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2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2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21E"/>
    <w:rPr>
      <w:rFonts w:eastAsiaTheme="majorEastAsia" w:cstheme="majorBidi"/>
      <w:color w:val="272727" w:themeColor="text1" w:themeTint="D8"/>
    </w:rPr>
  </w:style>
  <w:style w:type="paragraph" w:styleId="Title">
    <w:name w:val="Title"/>
    <w:basedOn w:val="Normal"/>
    <w:next w:val="Normal"/>
    <w:link w:val="TitleChar"/>
    <w:uiPriority w:val="10"/>
    <w:qFormat/>
    <w:rsid w:val="001B62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2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2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2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2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B621E"/>
    <w:rPr>
      <w:i/>
      <w:iCs/>
      <w:color w:val="404040" w:themeColor="text1" w:themeTint="BF"/>
    </w:rPr>
  </w:style>
  <w:style w:type="paragraph" w:styleId="ListParagraph">
    <w:name w:val="List Paragraph"/>
    <w:basedOn w:val="Normal"/>
    <w:uiPriority w:val="34"/>
    <w:qFormat/>
    <w:rsid w:val="001B621E"/>
    <w:pPr>
      <w:ind w:left="720"/>
      <w:contextualSpacing/>
    </w:pPr>
  </w:style>
  <w:style w:type="character" w:styleId="IntenseEmphasis">
    <w:name w:val="Intense Emphasis"/>
    <w:basedOn w:val="DefaultParagraphFont"/>
    <w:uiPriority w:val="21"/>
    <w:qFormat/>
    <w:rsid w:val="001B621E"/>
    <w:rPr>
      <w:i/>
      <w:iCs/>
      <w:color w:val="365F91" w:themeColor="accent1" w:themeShade="BF"/>
    </w:rPr>
  </w:style>
  <w:style w:type="paragraph" w:styleId="IntenseQuote">
    <w:name w:val="Intense Quote"/>
    <w:basedOn w:val="Normal"/>
    <w:next w:val="Normal"/>
    <w:link w:val="IntenseQuoteChar"/>
    <w:uiPriority w:val="30"/>
    <w:qFormat/>
    <w:rsid w:val="001B621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1B621E"/>
    <w:rPr>
      <w:i/>
      <w:iCs/>
      <w:color w:val="365F91" w:themeColor="accent1" w:themeShade="BF"/>
    </w:rPr>
  </w:style>
  <w:style w:type="character" w:styleId="IntenseReference">
    <w:name w:val="Intense Reference"/>
    <w:basedOn w:val="DefaultParagraphFont"/>
    <w:uiPriority w:val="32"/>
    <w:qFormat/>
    <w:rsid w:val="001B621E"/>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206</Words>
  <Characters>1179</Characters>
  <Application>Microsoft Office Word</Application>
  <DocSecurity>0</DocSecurity>
  <Lines>9</Lines>
  <Paragraphs>2</Paragraphs>
  <ScaleCrop>false</ScaleCrop>
  <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myoffice100900</dc:creator>
  <cp:keywords/>
  <dc:description/>
  <cp:lastModifiedBy>myoffice100900</cp:lastModifiedBy>
  <cp:revision>1</cp:revision>
  <dcterms:created xsi:type="dcterms:W3CDTF">2025-11-21T11:53:00Z</dcterms:created>
  <dcterms:modified xsi:type="dcterms:W3CDTF">2025-11-21T11:56:00Z</dcterms:modified>
</cp:coreProperties>
</file>